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55" w:rsidRPr="00EE6512" w:rsidRDefault="00C94A55" w:rsidP="00C94A55">
      <w:pPr>
        <w:ind w:firstLineChars="50" w:firstLine="105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noProof/>
          <w:szCs w:val="21"/>
          <w:lang w:val="en-IN" w:eastAsia="en-IN"/>
        </w:rPr>
        <w:drawing>
          <wp:inline distT="0" distB="0" distL="0" distR="0" wp14:anchorId="6668A654" wp14:editId="57C1C5B2">
            <wp:extent cx="5274310" cy="1416359"/>
            <wp:effectExtent l="0" t="0" r="2540" b="0"/>
            <wp:docPr id="3" name="图片 3" descr="D:\klive\HKUST\project\TCE\paper\Supplementaryfig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live\HKUST\project\TCE\paper\Supplementaryfigure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A55" w:rsidRDefault="00C94A55" w:rsidP="00C94A55">
      <w:pPr>
        <w:spacing w:line="276" w:lineRule="auto"/>
        <w:rPr>
          <w:rFonts w:ascii="Times New Roman" w:hAnsi="Times New Roman" w:cs="Times New Roman"/>
          <w:kern w:val="0"/>
          <w:szCs w:val="21"/>
        </w:rPr>
      </w:pPr>
    </w:p>
    <w:p w:rsidR="00C94A55" w:rsidRPr="00EE6512" w:rsidRDefault="00C94A55" w:rsidP="00C94A55">
      <w:pPr>
        <w:spacing w:line="360" w:lineRule="auto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kern w:val="0"/>
          <w:szCs w:val="21"/>
        </w:rPr>
        <w:t xml:space="preserve">Figure </w:t>
      </w:r>
      <w:r>
        <w:rPr>
          <w:rFonts w:ascii="Times New Roman" w:hAnsi="Times New Roman" w:cs="Times New Roman" w:hint="eastAsia"/>
          <w:kern w:val="0"/>
          <w:szCs w:val="21"/>
        </w:rPr>
        <w:t>S</w:t>
      </w:r>
      <w:r w:rsidRPr="00EE6512">
        <w:rPr>
          <w:rFonts w:ascii="Times New Roman" w:hAnsi="Times New Roman" w:cs="Times New Roman"/>
          <w:kern w:val="0"/>
          <w:szCs w:val="21"/>
        </w:rPr>
        <w:t>1</w:t>
      </w:r>
      <w:r w:rsidRPr="00EE6512">
        <w:rPr>
          <w:rFonts w:ascii="Times New Roman" w:hAnsi="Times New Roman" w:cs="Times New Roman"/>
          <w:szCs w:val="21"/>
        </w:rPr>
        <w:t xml:space="preserve">. </w:t>
      </w:r>
      <w:proofErr w:type="spellStart"/>
      <w:r w:rsidRPr="00EE6512">
        <w:rPr>
          <w:rFonts w:ascii="Times New Roman" w:hAnsi="Times New Roman" w:cs="Times New Roman"/>
          <w:szCs w:val="21"/>
        </w:rPr>
        <w:t>Alu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and </w:t>
      </w:r>
      <w:proofErr w:type="spellStart"/>
      <w:r w:rsidRPr="00EE6512">
        <w:rPr>
          <w:rFonts w:ascii="Times New Roman" w:hAnsi="Times New Roman" w:cs="Times New Roman"/>
          <w:szCs w:val="21"/>
        </w:rPr>
        <w:t>Alu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Y consensus sequences and primers employed in </w:t>
      </w:r>
      <w:proofErr w:type="spellStart"/>
      <w:r w:rsidRPr="00EE6512">
        <w:rPr>
          <w:rFonts w:ascii="Times New Roman" w:hAnsi="Times New Roman" w:cs="Times New Roman"/>
          <w:szCs w:val="21"/>
        </w:rPr>
        <w:t>AluScan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. </w:t>
      </w:r>
    </w:p>
    <w:p w:rsidR="00C94A55" w:rsidRPr="00EE6512" w:rsidRDefault="00C94A55" w:rsidP="00C94A55">
      <w:pPr>
        <w:spacing w:line="360" w:lineRule="auto"/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szCs w:val="21"/>
        </w:rPr>
        <w:t>The top “</w:t>
      </w:r>
      <w:proofErr w:type="spellStart"/>
      <w:r w:rsidRPr="00EE6512">
        <w:rPr>
          <w:rFonts w:ascii="Times New Roman" w:hAnsi="Times New Roman" w:cs="Times New Roman"/>
          <w:szCs w:val="21"/>
        </w:rPr>
        <w:t>Alu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” sequence represent the consensus sequence of the entire </w:t>
      </w:r>
      <w:proofErr w:type="spellStart"/>
      <w:r w:rsidRPr="00EE6512">
        <w:rPr>
          <w:rFonts w:ascii="Times New Roman" w:hAnsi="Times New Roman" w:cs="Times New Roman"/>
          <w:szCs w:val="21"/>
        </w:rPr>
        <w:t>Alu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family from </w:t>
      </w:r>
      <w:proofErr w:type="spellStart"/>
      <w:r w:rsidRPr="00EE6512">
        <w:rPr>
          <w:rFonts w:ascii="Times New Roman" w:hAnsi="Times New Roman" w:cs="Times New Roman"/>
          <w:szCs w:val="21"/>
        </w:rPr>
        <w:t>bp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1 to 282 without 3’ oligo (</w:t>
      </w:r>
      <w:proofErr w:type="spellStart"/>
      <w:r w:rsidRPr="00EE6512">
        <w:rPr>
          <w:rFonts w:ascii="Times New Roman" w:hAnsi="Times New Roman" w:cs="Times New Roman"/>
          <w:szCs w:val="21"/>
        </w:rPr>
        <w:t>dA</w:t>
      </w:r>
      <w:proofErr w:type="spellEnd"/>
      <w:r w:rsidRPr="00EE6512">
        <w:rPr>
          <w:rFonts w:ascii="Times New Roman" w:hAnsi="Times New Roman" w:cs="Times New Roman"/>
          <w:szCs w:val="21"/>
        </w:rPr>
        <w:t>)-rich tail.</w:t>
      </w:r>
      <w:r w:rsidRPr="00EE6512" w:rsidDel="004D59E2">
        <w:rPr>
          <w:rFonts w:ascii="Times New Roman" w:hAnsi="Times New Roman" w:cs="Times New Roman"/>
          <w:szCs w:val="21"/>
        </w:rPr>
        <w:t xml:space="preserve"> </w:t>
      </w:r>
      <w:r w:rsidRPr="00EE6512">
        <w:rPr>
          <w:rFonts w:ascii="Times New Roman" w:hAnsi="Times New Roman" w:cs="Times New Roman"/>
          <w:szCs w:val="21"/>
        </w:rPr>
        <w:t>The bottom “</w:t>
      </w:r>
      <w:proofErr w:type="spellStart"/>
      <w:r w:rsidRPr="00EE6512">
        <w:rPr>
          <w:rFonts w:ascii="Times New Roman" w:hAnsi="Times New Roman" w:cs="Times New Roman"/>
          <w:szCs w:val="21"/>
        </w:rPr>
        <w:t>Alu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Y” sequence represent consensus sequence of </w:t>
      </w:r>
      <w:proofErr w:type="spellStart"/>
      <w:r w:rsidRPr="00EE6512">
        <w:rPr>
          <w:rFonts w:ascii="Times New Roman" w:hAnsi="Times New Roman" w:cs="Times New Roman"/>
          <w:szCs w:val="21"/>
        </w:rPr>
        <w:t>Alu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Y subfamilies. P</w:t>
      </w:r>
      <w:r w:rsidRPr="00EE6512">
        <w:rPr>
          <w:rFonts w:ascii="Times New Roman" w:eastAsia="SimSun" w:hAnsi="Times New Roman" w:cs="Times New Roman"/>
          <w:szCs w:val="21"/>
        </w:rPr>
        <w:t xml:space="preserve">rimers AluY278T18 and R12A/267 were in the same direction as the </w:t>
      </w:r>
      <w:proofErr w:type="spellStart"/>
      <w:r w:rsidRPr="00EE6512">
        <w:rPr>
          <w:rFonts w:ascii="Times New Roman" w:hAnsi="Times New Roman" w:cs="Times New Roman"/>
          <w:szCs w:val="21"/>
        </w:rPr>
        <w:t>AluY</w:t>
      </w:r>
      <w:proofErr w:type="spellEnd"/>
      <w:r w:rsidRPr="00EE6512">
        <w:rPr>
          <w:rFonts w:ascii="Times New Roman" w:hAnsi="Times New Roman" w:cs="Times New Roman"/>
          <w:szCs w:val="21"/>
        </w:rPr>
        <w:t xml:space="preserve"> consensus sequence, whereas</w:t>
      </w:r>
      <w:r w:rsidRPr="00EE6512">
        <w:rPr>
          <w:rFonts w:ascii="Times New Roman" w:eastAsia="SimSun" w:hAnsi="Times New Roman" w:cs="Times New Roman"/>
          <w:szCs w:val="21"/>
        </w:rPr>
        <w:t xml:space="preserve"> AluY66H21 rev and L12A/8 rev were in the opposite direction to </w:t>
      </w:r>
      <w:r w:rsidRPr="00EE6512">
        <w:rPr>
          <w:rFonts w:ascii="Times New Roman" w:hAnsi="Times New Roman" w:cs="Times New Roman"/>
          <w:szCs w:val="21"/>
        </w:rPr>
        <w:t>consensus sequence.</w:t>
      </w:r>
    </w:p>
    <w:p w:rsidR="00FB7B47" w:rsidRDefault="00FB7B47"/>
    <w:p w:rsidR="00C94A55" w:rsidRDefault="00C94A55"/>
    <w:p w:rsidR="00C94A55" w:rsidRDefault="00C94A55"/>
    <w:p w:rsidR="00C94A55" w:rsidRDefault="00C94A55"/>
    <w:p w:rsidR="00C94A55" w:rsidRPr="00EE6512" w:rsidRDefault="00C94A55" w:rsidP="00C94A55">
      <w:pPr>
        <w:rPr>
          <w:rFonts w:ascii="Times New Roman" w:hAnsi="Times New Roman" w:cs="Times New Roman"/>
          <w:szCs w:val="21"/>
        </w:rPr>
      </w:pPr>
      <w:r w:rsidRPr="00EE6512">
        <w:rPr>
          <w:rFonts w:ascii="Times New Roman" w:hAnsi="Times New Roman" w:cs="Times New Roman"/>
          <w:noProof/>
          <w:szCs w:val="21"/>
          <w:lang w:val="en-IN" w:eastAsia="en-IN"/>
        </w:rPr>
        <w:drawing>
          <wp:inline distT="0" distB="0" distL="0" distR="0" wp14:anchorId="2FA11E45" wp14:editId="53131255">
            <wp:extent cx="5274310" cy="4130996"/>
            <wp:effectExtent l="0" t="0" r="2540" b="3175"/>
            <wp:docPr id="2" name="图片 2" descr="D:\klive\HKUST\project\TCE\paper\figur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live\HKUST\project\TCE\paper\figureS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3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A55" w:rsidRDefault="00C94A55" w:rsidP="00C94A55">
      <w:pPr>
        <w:rPr>
          <w:rFonts w:ascii="Times New Roman" w:hAnsi="Times New Roman" w:cs="Times New Roman"/>
          <w:kern w:val="0"/>
          <w:szCs w:val="21"/>
        </w:rPr>
      </w:pPr>
    </w:p>
    <w:p w:rsidR="00C94A55" w:rsidRPr="00EE6512" w:rsidRDefault="00C94A55" w:rsidP="00C94A55">
      <w:pPr>
        <w:spacing w:line="360" w:lineRule="auto"/>
        <w:rPr>
          <w:rFonts w:ascii="Times New Roman" w:eastAsia="SimSun" w:hAnsi="Times New Roman" w:cs="Times New Roman"/>
          <w:color w:val="000000"/>
          <w:kern w:val="0"/>
          <w:szCs w:val="21"/>
        </w:rPr>
      </w:pPr>
      <w:r w:rsidRPr="00EE6512">
        <w:rPr>
          <w:rFonts w:ascii="Times New Roman" w:hAnsi="Times New Roman" w:cs="Times New Roman"/>
          <w:kern w:val="0"/>
          <w:szCs w:val="21"/>
        </w:rPr>
        <w:t xml:space="preserve">Figure </w:t>
      </w:r>
      <w:r>
        <w:rPr>
          <w:rFonts w:ascii="Times New Roman" w:hAnsi="Times New Roman" w:cs="Times New Roman" w:hint="eastAsia"/>
          <w:kern w:val="0"/>
          <w:szCs w:val="21"/>
        </w:rPr>
        <w:t>S</w:t>
      </w:r>
      <w:r w:rsidRPr="00EE6512">
        <w:rPr>
          <w:rFonts w:ascii="Times New Roman" w:eastAsia="SimSun" w:hAnsi="Times New Roman" w:cs="Times New Roman"/>
          <w:szCs w:val="21"/>
        </w:rPr>
        <w:t xml:space="preserve">2. </w:t>
      </w:r>
      <w:r w:rsidRPr="00EE6512">
        <w:rPr>
          <w:rFonts w:ascii="Times New Roman" w:eastAsia="SimSun" w:hAnsi="Times New Roman" w:cs="Times New Roman"/>
          <w:color w:val="000000"/>
          <w:kern w:val="0"/>
          <w:szCs w:val="21"/>
        </w:rPr>
        <w:t>GO slim classification of all 2070 genes. Due to 144 genes were not annotated in this database, so total 1948 genes were classified base on the GO slim which is cut-down versions of the GO ontologies. 53% genes of all annotated genes were labeled in the metabolic process, including anabolism and catabolism.</w:t>
      </w:r>
    </w:p>
    <w:p w:rsidR="00C94A55" w:rsidRDefault="00C94A55">
      <w:bookmarkStart w:id="0" w:name="_GoBack"/>
      <w:bookmarkEnd w:id="0"/>
    </w:p>
    <w:sectPr w:rsidR="00C94A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A55"/>
    <w:rsid w:val="00C94A55"/>
    <w:rsid w:val="00FB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33BD8"/>
  <w15:chartTrackingRefBased/>
  <w15:docId w15:val="{CE826753-2544-41A2-AACF-0574F724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94A55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 text</dc:creator>
  <cp:keywords/>
  <dc:description/>
  <cp:lastModifiedBy>oa text</cp:lastModifiedBy>
  <cp:revision>1</cp:revision>
  <dcterms:created xsi:type="dcterms:W3CDTF">2017-04-13T05:04:00Z</dcterms:created>
  <dcterms:modified xsi:type="dcterms:W3CDTF">2017-04-13T05:05:00Z</dcterms:modified>
</cp:coreProperties>
</file>